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Ответы на поступающие вопросы по докладам, указанным в пунктах б) и в), а также вопросы поступившие в ходе проведения мероприятия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Ответы на поступающие вопросы по докладам, указанным в пунктах б) и в), а также вопросы поступившие в ходе проведения мероприятия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14 февраля 2017 года в 14 ч. 00 мин. под руководством заместителя начальника Главного управления МЧС России по Костромской области полковника внутренней службы Михалева Алексея Евгеньевича по адресу: г. Кострома, ул. Индустриальная, 53 проведены публичные обсуждения обзора результатов обобщения и анализа правоприменительной практики надзорной деятельности Главного управления МЧС России по Костромской области за 12 месяцев 2017 года.</w:t>
            </w:r>
            <w:br/>
            <w:r>
              <w:rPr/>
              <w:t xml:space="preserve"> </w:t>
            </w:r>
            <w:br/>
            <w:r>
              <w:rPr/>
              <w:t xml:space="preserve">  Задаваемые до проведения публичных слушаний вопросы и ответы на них</w:t>
            </w:r>
            <w:br/>
            <w:r>
              <w:rPr/>
              <w:t xml:space="preserve"> </w:t>
            </w:r>
            <w:br/>
            <w:r>
              <w:rPr/>
              <w:t xml:space="preserve"> Вопрос: Нужно ли регистрировать лодку, изготовленную из поливинилхлорида (ПВХ) и какой мощности мотор может быть установлен на такую лодку?</w:t>
            </w:r>
            <w:br/>
            <w:r>
              <w:rPr/>
              <w:t xml:space="preserve"> </w:t>
            </w:r>
            <w:br/>
            <w:r>
              <w:rPr/>
              <w:t xml:space="preserve"> Ответ: Федеральный закон от 23.04.2012 № 36-ФЗ «О внесении изменений в отдельные законодательные акты Российской Федерации в части определения понятия маломерного судна» внёс изменения в Кодекс торгового мореплавания Российской Федерации (далее - КТМ РФ) и Кодекс внутреннего водного транспорта Российской Федерации (далее - КВВТ РФ) в части, касающейся требований по регистрации маломерных судов и упростил порядок пользования маломерными судами массой двигателя (в случае установки) до 200 килограмм включительно и мощностью до 8 кВт включительно.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требованиями КТМ РФ и КВВТ РФ не подлежат государственной регистрации шлюпки и плавучие средства, которые являются принадлежностями судна, суда массой до 200 кг включительно и мощностью двигателей (в случае установки) до 8 кВт включительно (п. 1.1. ст. 33 КТМ и п. 1.1 ст. 16 КВВТ).</w:t>
            </w:r>
            <w:br/>
            <w:r>
              <w:rPr/>
              <w:t xml:space="preserve"> </w:t>
            </w:r>
            <w:br/>
            <w:r>
              <w:rPr/>
              <w:t xml:space="preserve"> При плавании на маломерном судне, подлежащем государственной регистрации, на борту судна должны находиться следующие судовые документы: судовой билет (или его копия, заверенная в установленном порядке) и судовая роль (ст. 27, 31 КТМ и п. 9 ст. 14 КВВТ РФ).</w:t>
            </w:r>
            <w:br/>
            <w:r>
              <w:rPr/>
              <w:t xml:space="preserve"> </w:t>
            </w:r>
            <w:br/>
            <w:r>
              <w:rPr/>
              <w:t xml:space="preserve"> Также порядок пользования маломерными судами регламентируется Правилами пользования маломерными судами на водных объектах Российской Федерации, утверждённых приказом МЧС России от 29.06.2005 № 502 (зарегистрированном в Минюсте России 24.08.2005 № 6940) (далее - Правила). В соответствии с пунктом 5 Правил «к управлению маломерными судами, прошедшими государственную регистрацию, допускаются судоводители, имеющие удостоверение на право управления маломерными судами».</w:t>
            </w:r>
            <w:br/>
            <w:r>
              <w:rPr/>
              <w:t xml:space="preserve"> </w:t>
            </w:r>
            <w:br/>
            <w:r>
              <w:rPr/>
              <w:t xml:space="preserve"> Таким образом, при эксплуатации маломерных судов, не подлежащих государственной регистрации, требования к наличию каких-либо регистрационных документов на судно, а также документов, подтверждающих наличие права управления таким судном действующим законодательством не предусмотрены.</w:t>
            </w:r>
            <w:br/>
            <w:r>
              <w:rPr/>
              <w:t xml:space="preserve"> </w:t>
            </w:r>
            <w:br/>
            <w:r>
              <w:rPr/>
              <w:t xml:space="preserve"> При этом маломерное судно, не подлежащее государственной регистрации должно быть укомплектовано спасательными и сигнальными средствами предусмотренными техническим регламентом Таможенного союза «О безопасности маломерных судов» (ТР ТС 026/2012).</w:t>
            </w:r>
            <w:br/>
            <w:r>
              <w:rPr/>
              <w:t xml:space="preserve"> </w:t>
            </w:r>
            <w:br/>
            <w:r>
              <w:rPr/>
              <w:t xml:space="preserve"> Массу маломерного судна следует определять по ГОСТ Р ISO 86663:2012 «Суда малые. Основные данные». В соответствии с указанным стандартом, масса укомплектованного судна должна задаваться вместе с массой наиболее тяжёлого мотора (моторов), рекомендованного изготовителем, вне зависимости от того, что пользователь может не устанавливать мотор или установить более лёгкий мотор и сопутствующее оборудование, с массой, установленной стационарной топливной системы, систем управления двигателем и рулевой системы.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Вопрос: Как будут квалифицироваться правонарушения в связи с внесенными изменениями 09.06.2017 в ст. 20.4 КоАП РФ, за которые ранее была предусмотрена ответственность частями 3,4,5 и 8 КоАП РФ?</w:t>
            </w:r>
            <w:br/>
            <w:r>
              <w:rPr/>
              <w:t xml:space="preserve"> </w:t>
            </w:r>
            <w:br/>
            <w:r>
              <w:rPr/>
              <w:t xml:space="preserve"> Ответ: В связи с данными изменениями за правонарушения, ранее предусмотренные ч.ч. 3,4,5,8 ст. 20.4 КоАП РФ, субъект правонарушения будет нести ответственность в соответствии с частью 1 статьи 20.4 КоАП РФ. Либо, в случае совершения аналогичных правонарушений в условиях действия особого противопожарного режима на территории субъекта – по части 2 статьи 20.4 КоАП РФ.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Вопрос: Необходимо ли организации, не отнесенной к категориям по гражданской обороне или прекращающей работу в военное время, расположенной вне зон возможных разрушений, возможных опасных химических заражений, катастрофического затопления и опасного радиоактивного заражения разрабатывать собственные планы гражданской обороны?</w:t>
            </w:r>
            <w:br/>
            <w:r>
              <w:rPr/>
              <w:t xml:space="preserve"> </w:t>
            </w:r>
            <w:br/>
            <w:r>
              <w:rPr/>
              <w:t xml:space="preserve"> Ответ: В соответствии с п.116 Порядка разработки, согласования и утверждения планов гражданской обороны и защиты населения (планов гражданской обороны), утвержденного приказом МЧС России от 16.02.2012 № 70, организации, не отнесенные к категориям по гражданской обороне и (или) прекращающие работу в военное время, расположенные вне зон возможных разрушений, возможного опасного химического заражения, катастрофического затопления и опасного радиоактивного заражения, собственные планы гражданской обороны не разрабатывают. Мероприятия по защите работников указанных организаций учитываются в планах соответствующих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Вопрос: Какая работа поводится по заявлению в случае отказа в согласовании проверки органами прокуратуры?</w:t>
            </w:r>
            <w:br/>
            <w:r>
              <w:rPr/>
              <w:t xml:space="preserve"> </w:t>
            </w:r>
            <w:br/>
            <w:r>
              <w:rPr/>
              <w:t xml:space="preserve"> Ответ:В случае отказа органами прокуратуры в согласовании проведения внеплановой проверки по заявлению, заявителю направляется ответ с разъяснением положений ст. 10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Вопрос: Риск-ориентированный подход. Что это такое и как будет определяться степень риска для разных предприятий?</w:t>
            </w:r>
            <w:br/>
            <w:r>
              <w:rPr/>
              <w:t xml:space="preserve"> </w:t>
            </w:r>
            <w:br/>
            <w:r>
              <w:rPr/>
              <w:t xml:space="preserve"> Ответ:Риск-ориентированный подход представляет собой метод организации и осуществления государственного контроля (надзора), при котором в предусмотренных случаях выбор интенсивности (формы, продолжительности, периодичности) проведения мероприятий по контролю определяется отнесением деятельности юридического лица, индивидуального предпринимателя и (или) используемых ими при осуществлении такой деятельности производственных объектов к определенной категории риска либо определенному классу (категории) опасности.</w:t>
            </w:r>
            <w:br/>
            <w:r>
              <w:rPr/>
              <w:t xml:space="preserve"> </w:t>
            </w:r>
            <w:br/>
            <w:r>
              <w:rPr/>
              <w:t xml:space="preserve"> Решение об отнесении объекта к той или иной категории риска принимается на основании критериев отнесения, изложенных в постановлении Правительства РФ от 12.04.2012 № 290.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Вопрос: На каких организациях создаются локальные системы оповещения?</w:t>
            </w:r>
            <w:br/>
            <w:r>
              <w:rPr/>
              <w:t xml:space="preserve"> </w:t>
            </w:r>
            <w:br/>
            <w:r>
              <w:rPr/>
              <w:t xml:space="preserve"> Ответ:Локальные системы оповещения создаются организациями, эксплуатирующими опасные производственные объекты I и II классов опасности, особо радиационно-опасные и ядерно-опасные производства и объекты, гидротехнические сооружения чрезвычайно высокой опасности и гидротехнические сооружения высокой опасности. Основанием для его требования является п. 3 ст. 9 Федерального закона от 12.02.1998 г. № 28-ФЗ «О гражданской обороне».</w:t>
            </w:r>
            <w:br/>
            <w:r>
              <w:rPr/>
              <w:t xml:space="preserve"> </w:t>
            </w:r>
            <w:br/>
            <w:r>
              <w:rPr/>
              <w:t xml:space="preserve">   Задаваемые во время проведения публичных слушаний вопросы и ответы на них</w:t>
            </w:r>
            <w:br/>
            <w:r>
              <w:rPr/>
              <w:t xml:space="preserve"> </w:t>
            </w:r>
            <w:br/>
            <w:r>
              <w:rPr/>
              <w:t xml:space="preserve"> Вопрос: Добрый день уважаемые коллеги. Я представляю организацию «Мир безопасности», оказывающую услуги в области обеспечения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 Вашем докладе прозвучало, что по итогам 2017 года 38 объектам повышена категория риска связи с произошедшими на них пожарами и 22 объектам снижена, так как проведена, положительна оценка пожарного риска. У меня такой вопрос: в каких ещё случаях может быть повышена категория риска, а в каких понижена?</w:t>
            </w:r>
            <w:br/>
            <w:r>
              <w:rPr/>
              <w:t xml:space="preserve"> </w:t>
            </w:r>
            <w:br/>
            <w:r>
              <w:rPr/>
              <w:t xml:space="preserve"> Ответ: Пожарный риск понижается:</w:t>
            </w:r>
            <w:br/>
            <w:r>
              <w:rPr/>
              <w:t xml:space="preserve"> </w:t>
            </w:r>
            <w:br/>
            <w:r>
              <w:rPr/>
              <w:t xml:space="preserve"> 1. Для объектов значительного, среднего, умеренного риска на одну ступень до среднего, умеренного и низкого риска соответственно при соблюдении одного из следующих условий:</w:t>
            </w:r>
            <w:br/>
            <w:r>
              <w:rPr/>
              <w:t xml:space="preserve"> </w:t>
            </w:r>
            <w:br/>
            <w:r>
              <w:rPr/>
              <w:t xml:space="preserve"> создание в установленном порядке подразделения пожарной охраны для защиты соответствующих объектов (за исключением добровольных пожарных формирований);</w:t>
            </w:r>
            <w:br/>
            <w:r>
              <w:rPr/>
              <w:t xml:space="preserve"> </w:t>
            </w:r>
            <w:br/>
            <w:r>
              <w:rPr/>
              <w:t xml:space="preserve"> наличие в структуре юридического лица и у индивидуального предпринимателя, подразделения, занимающегося вопросами пожарной профилактики, кадровый состав которого имеет специальное пожарно-техническое образование и стаж работы в системе государственного пожарного надзора или тушения пожаров не менее 5 лет;</w:t>
            </w:r>
            <w:br/>
            <w:r>
              <w:rPr/>
              <w:t xml:space="preserve"> </w:t>
            </w:r>
            <w:br/>
            <w:r>
              <w:rPr/>
              <w:t xml:space="preserve"> проведение пожарного аудита объекта защиты (независимой оценки пожарного риска) с выводом о выполнении условий соответствия указанного объекта требованиям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отсутствие при последней плановой проверке нарушений требований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2. Для объектов значительного риска на одну ступень до среднего риска в случае отсутствия на объекте защиты пожаров за последние 5 лет;</w:t>
            </w:r>
            <w:br/>
            <w:r>
              <w:rPr/>
              <w:t xml:space="preserve"> </w:t>
            </w:r>
            <w:br/>
            <w:r>
              <w:rPr/>
              <w:t xml:space="preserve"> Пожарный риск повышается:</w:t>
            </w:r>
            <w:br/>
            <w:r>
              <w:rPr/>
              <w:t xml:space="preserve"> </w:t>
            </w:r>
            <w:br/>
            <w:r>
              <w:rPr/>
              <w:t xml:space="preserve"> Для объектов защиты отнесенных к категории среднего, умеренного и низкого риска, на одну ступень до значительного, среднего и умеренного риска соответственно при наличии следующих условий:</w:t>
            </w:r>
            <w:br/>
            <w:r>
              <w:rPr/>
              <w:t xml:space="preserve"> </w:t>
            </w:r>
            <w:br/>
            <w:r>
              <w:rPr/>
              <w:t xml:space="preserve"> проведение пожарного аудита объекта защиты (независимой оценки пожарного риска) с выводом о невыполнении условий соответствия указанного объекта требованиям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наличие сведений о происшедшем на объекте защиты пожаре в течение последних 5 лет;</w:t>
            </w:r>
            <w:br/>
            <w:r>
              <w:rPr/>
              <w:t xml:space="preserve"> </w:t>
            </w:r>
            <w:br/>
            <w:r>
              <w:rPr/>
              <w:t xml:space="preserve"> наличие вступившего в законную силу постановления суда о назначении наказания в виде административного приостановления деятельности юридического лица и индивидуального предпринимателя на объекте защиты в течение последних 3 лет.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Морозов Илья Николаевич</w:t>
            </w:r>
            <w:br/>
            <w:r>
              <w:rPr/>
              <w:t xml:space="preserve"> </w:t>
            </w:r>
            <w:br/>
            <w:r>
              <w:rPr/>
              <w:t xml:space="preserve"> Вопрос: В представленном Вами обзоре указаны основные (типовые) нарушения требований пожарной безопасности, которые выявляются в ходе проверок. Большинство замечаний имеется по монтажу систем противопожарной защиты, а именно автоматической пожарной сигнализации и системы оповещения и управления эвакуацией людей в случае пожара. Государственные инспектора по пожарному надзору не принимают участие в приемке указанных систем. Не будут ли в будущем возвращены данные полномочия?</w:t>
            </w:r>
            <w:br/>
            <w:r>
              <w:rPr/>
              <w:t xml:space="preserve"> </w:t>
            </w:r>
            <w:br/>
            <w:r>
              <w:rPr/>
              <w:t xml:space="preserve"> Ответ:В настоящее время, данный вопрос не рассматривается, но каждый представитель (собственник) объекта защиты может обратиться к нам за консультацией. При этом в случае некачественного выполнения работ организацией, выполняющей монтаж противопожарных систем, можно обратиться к нам с обращением (заявлением) или решить возникшие споры в гражданско-правовом порядке.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Начальник отдела промышленной безопасности ООО "СВИСС КРОНО" г. Шарья</w:t>
            </w:r>
            <w:br/>
            <w:r>
              <w:rPr/>
              <w:t xml:space="preserve"> </w:t>
            </w:r>
            <w:br/>
            <w:r>
              <w:rPr/>
              <w:t xml:space="preserve"> Вопрос: НПБ 101-95 «Нормы проектирования объектов пожарной охраны» относится к нормативным документам по пожарной безопасности для обязательного исполнения или является нормой добровольного исполнения? И можем ли мы построить пожарное депо без вспомогательных помещений?</w:t>
            </w:r>
            <w:br/>
            <w:r>
              <w:rPr/>
              <w:t xml:space="preserve"> </w:t>
            </w:r>
            <w:br/>
            <w:r>
              <w:rPr/>
              <w:t xml:space="preserve">  Ответ: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частью 2 статьи 6 Федерального закона от 22.07.2008 N 123-ФЗ (ред. от 29.07.2017) "Технический регламент о требованиях пожарной безопасности" пожарная безопасность объекта защиты считается обеспеченной, если в полном объеме выполнены требования пожарной безопасности, установленные техническими регламентами, принятыми в соответствии с Федеральным законом "О техническом регулировании", и нормативными документами по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Пунктом 3 статьи 4 установлено, что к нормативным документам по пожарной безопасности относятся национальные стандарты, своды правил, содержащие требования пожарной безопасности, а также иные документы, содержащие требования пожарной безопасности, применение которых на добровольной основе обеспечивает соблюдение требований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несколько документов, содержащих в себе перечни нормативных документов по пожарной безопасности. Это:</w:t>
            </w:r>
            <w:br/>
            <w:r>
              <w:rPr/>
              <w:t xml:space="preserve"> </w:t>
            </w:r>
            <w:br/>
            <w:r>
              <w:rPr/>
              <w:t xml:space="preserve"> Распоряжение Правительства РФ от 10.03.2009 № 304-р</w:t>
            </w:r>
            <w:br/>
            <w:r>
              <w:rPr/>
              <w:t xml:space="preserve"> </w:t>
            </w:r>
            <w:br/>
            <w:r>
              <w:rPr/>
              <w:t xml:space="preserve"> «Об утверждении перечня национальных 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Федерального закона "Технический регламент о требованиях пожарной безопасности" и осуществления оценки соответствия.».</w:t>
            </w:r>
            <w:br/>
            <w:r>
              <w:rPr/>
              <w:t xml:space="preserve"> </w:t>
            </w:r>
            <w:br/>
            <w:r>
              <w:rPr/>
              <w:t xml:space="preserve"> Приказ Росстандарта от 16 апреля 2014 года № 474 «Об утверждении перечня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22 июля 2008 года № 123-ФЗ «Технический регламент о требованиях пожарной безопасности».</w:t>
            </w:r>
            <w:br/>
            <w:r>
              <w:rPr/>
              <w:t xml:space="preserve"> </w:t>
            </w:r>
            <w:br/>
            <w:r>
              <w:rPr/>
              <w:t xml:space="preserve"> В указанных перечнях данный документ отсутствует.</w:t>
            </w:r>
            <w:br/>
            <w:r>
              <w:rPr/>
              <w:t xml:space="preserve"> </w:t>
            </w:r>
            <w:br/>
            <w:r>
              <w:rPr/>
              <w:t xml:space="preserve"> Письмом МЧС России от 18.12.2013 N 19-3-1-5587 "О ведомственных документах по пожарной безопасности" дано следующее пояснение:</w:t>
            </w:r>
            <w:br/>
            <w:r>
              <w:rPr/>
              <w:t xml:space="preserve"> </w:t>
            </w:r>
            <w:br/>
            <w:r>
              <w:rPr/>
              <w:t xml:space="preserve"> В связи с участившимися обращениями по вопросу применения ведомственных (отраслевых) правил (норм) пожарной безопасности, Департамент надзорной деятельности сообщает следующее.</w:t>
            </w:r>
            <w:br/>
            <w:r>
              <w:rPr/>
              <w:t xml:space="preserve"> </w:t>
            </w:r>
            <w:br/>
            <w:r>
              <w:rPr/>
              <w:t xml:space="preserve"> Рассматриваемые документы разрабатывались с учетом специфики организации обеспечения пожарной безопасности на объектах конкретных отраслей в соответствии с действовавшими ранее нормативными документами по пожарной безопасности и не проходили регистрацию в Министерстве юстиции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В  настоящее  время  исчерпывающие  требования  пожарной  безопасности,  устанавливающие правила поведения людей, порядок организации производства и (или) содержания территорий, а также объектов  защиты  различных  классов функциональной  пожарной  опасности,  регламентированы Правилами  противопожарного  режима  в  Российской  Федерации,  утвержденными  постановлением Правительства Российской Федерации от 25.04.2012 N 390.</w:t>
            </w:r>
            <w:br/>
            <w:r>
              <w:rPr/>
              <w:t xml:space="preserve"> </w:t>
            </w:r>
            <w:br/>
            <w:r>
              <w:rPr/>
              <w:t xml:space="preserve"> С учетом изложенного, а также принимая во внимание положения статьи 4 Федерального закона от 22.07.2008 № 123 - ФЗ "Технический регламент о требованиях пожарной безопасности", ведомственные (отраслевые) документы по пожарной безопасности являются документами добровольного применения и не могут применяться органами надзорной деятельности МЧС России при проведении контрольных (надзорных)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МЧС России утвержден перечень актов, содержащих обязательные требования, соблюдение которых оценивается при осуществлении федерального государственного надзора в области пожарной безопасности, гражданской обороны, защиты населения и территорий от чрезвычайных ситуаций природного и техногенного характера. Требования НПБ 101-95 в нем также отсутствуют.</w:t>
            </w:r>
            <w:br/>
            <w:r>
              <w:rPr/>
              <w:t xml:space="preserve"> </w:t>
            </w:r>
            <w:br/>
            <w:r>
              <w:rPr/>
              <w:t xml:space="preserve"> Из вышеизложенного следует, что НПБ 101-95 является документом добровольного применения. Требования данного документа не проверяются при проведении надзорных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Вопрос: Скажите пожалуйста! Согласно внесенных изменений, получается, что теперь не нужна лицензия для работ по очистке дымоходов и вентиляционных каналов?</w:t>
            </w:r>
            <w:br/>
            <w:r>
              <w:rPr/>
              <w:t xml:space="preserve"> </w:t>
            </w:r>
            <w:br/>
            <w:r>
              <w:rPr/>
              <w:t xml:space="preserve">  Ответ.</w:t>
            </w:r>
            <w:br/>
            <w:r>
              <w:rPr/>
              <w:t xml:space="preserve"> </w:t>
            </w:r>
            <w:br/>
            <w:r>
              <w:rPr/>
              <w:t xml:space="preserve"> Да действительно Постановлением также внесены изменения в Правила 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утвержденных постановлением Правительства Российской Федерации от 14 мая 2013 г. N 410 "О мерах по обеспечению безопасности при использовании и содержании внутридомового и внутриквартирного газового оборудования" в котором п.11 изложен в следующей редакции:</w:t>
            </w:r>
            <w:br/>
            <w:r>
              <w:rPr/>
              <w:t xml:space="preserve"> </w:t>
            </w:r>
            <w:br/>
            <w:r>
              <w:rPr/>
              <w:t xml:space="preserve"> 11. Надлежащее содержание дымовых и вентиляционных каналов обеспечивается:</w:t>
            </w:r>
            <w:br/>
            <w:r>
              <w:rPr/>
              <w:t xml:space="preserve"> </w:t>
            </w:r>
            <w:br/>
            <w:r>
              <w:rPr/>
              <w:t xml:space="preserve"> а) в многоквартирных домах путем проверки состояния и функционирования дымовых и вентиляционных каналов, при необходимости их очистки и (или) ремонта лицами, ответственными за содержание общего имущества в многоквартирном доме, либо путем заключения договора об их проверке, а также при необходимости об очистке и (или) о ремонте с организацией, осуществляющей указанные работы;</w:t>
            </w:r>
            <w:br/>
            <w:r>
              <w:rPr/>
              <w:t xml:space="preserve"> </w:t>
            </w:r>
            <w:br/>
            <w:r>
              <w:rPr/>
              <w:t xml:space="preserve"> б) в домовладении собственником домовладения путем проверки состояния и функционирования дымовых и вентиляционных каналов и (или) заключения договора об их проверке, а также при необходимости об очистке и (или) о ремонте с организацией, осуществляющей указанные работы.";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Вопрос: Скажите пожалуйста! Каким минимальным перечнем необходимого оборудования при получении лицензии нужно руководствоваться в настоящее время?</w:t>
            </w:r>
            <w:br/>
            <w:r>
              <w:rPr/>
              <w:t xml:space="preserve"> </w:t>
            </w:r>
            <w:br/>
            <w:r>
              <w:rPr/>
              <w:t xml:space="preserve">  Ответ. Приказом МЧС России от 30.10.2017 № 478 (зарегистрирован в Минюсте России 29.11.2017 № 49040) утвержден минимальный перечень оборудования, инструментов, технических средств, в том числе средств измерения, для выполнения работ и оказания услуг в области пожарной безопасности при осуществлении деятельности по монтажу, техническому обслуживанию и ремонту средств обеспечения пожарной безопасности зданий и сооружений. Данный перечень размещен на официальном сайте Главного управления в разделе «Лицензирование». Приказ вступает в силу по истечении 90 дней со дня его официального опубликования, то есть 01.03.2018.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2021-10-12T22:57:55+03:00</dcterms:created>
  <dcterms:modified xsi:type="dcterms:W3CDTF">2021-10-12T22:57:55+03:00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